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09" w:rsidRPr="00C624A2" w:rsidRDefault="00180009" w:rsidP="00180009">
      <w:pPr>
        <w:pStyle w:val="Nagwek1"/>
        <w:rPr>
          <w:rFonts w:ascii="Times New Roman" w:hAnsi="Times New Roman"/>
          <w:sz w:val="22"/>
        </w:rPr>
      </w:pPr>
      <w:r w:rsidRPr="00C624A2">
        <w:rPr>
          <w:rFonts w:ascii="Times New Roman" w:hAnsi="Times New Roman"/>
          <w:b/>
          <w:bCs/>
          <w:sz w:val="24"/>
        </w:rPr>
        <w:t>KARTA KURSU</w:t>
      </w:r>
    </w:p>
    <w:p w:rsidR="00180009" w:rsidRPr="00C624A2" w:rsidRDefault="00180009" w:rsidP="00180009">
      <w:pPr>
        <w:autoSpaceDE/>
        <w:jc w:val="center"/>
        <w:rPr>
          <w:sz w:val="22"/>
          <w:szCs w:val="14"/>
        </w:rPr>
      </w:pPr>
    </w:p>
    <w:p w:rsidR="00180009" w:rsidRPr="00C624A2" w:rsidRDefault="00180009" w:rsidP="00180009">
      <w:pPr>
        <w:autoSpaceDE/>
        <w:jc w:val="center"/>
        <w:rPr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180009" w:rsidRPr="00C624A2" w:rsidTr="00225B7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60" w:after="60"/>
              <w:jc w:val="center"/>
              <w:rPr>
                <w:b/>
              </w:rPr>
            </w:pPr>
            <w:r w:rsidRPr="00C624A2">
              <w:rPr>
                <w:b/>
              </w:rPr>
              <w:t>Rola i funkcje ekonomii społecznej w gospodarce</w:t>
            </w:r>
          </w:p>
        </w:tc>
      </w:tr>
      <w:tr w:rsidR="00180009" w:rsidRPr="00C624A2" w:rsidTr="00225B7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180009" w:rsidRPr="00C624A2" w:rsidRDefault="0049474C" w:rsidP="00225B73">
            <w:pPr>
              <w:pStyle w:val="Zawartotabeli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C624A2">
              <w:rPr>
                <w:sz w:val="20"/>
                <w:szCs w:val="20"/>
                <w:lang w:val="en-US"/>
              </w:rPr>
              <w:t xml:space="preserve">Role and function of social economy </w:t>
            </w:r>
          </w:p>
        </w:tc>
      </w:tr>
    </w:tbl>
    <w:p w:rsidR="00180009" w:rsidRPr="00C624A2" w:rsidRDefault="00180009" w:rsidP="00180009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180009" w:rsidRPr="00C624A2" w:rsidTr="00225B73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180009" w:rsidRPr="00C624A2" w:rsidRDefault="0054632B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 xml:space="preserve">Dr </w:t>
            </w:r>
            <w:r w:rsidR="00805AAE" w:rsidRPr="00C624A2">
              <w:rPr>
                <w:sz w:val="20"/>
                <w:szCs w:val="20"/>
              </w:rPr>
              <w:t>Renata Śliwa</w:t>
            </w:r>
            <w:r w:rsidR="009D0989" w:rsidRPr="00C624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Zespół dydaktyczny</w:t>
            </w:r>
          </w:p>
        </w:tc>
      </w:tr>
      <w:tr w:rsidR="00180009" w:rsidRPr="00C624A2" w:rsidTr="00225B73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180009" w:rsidRPr="00C624A2" w:rsidTr="00225B73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180009" w:rsidRPr="00C624A2" w:rsidTr="00225B73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0009" w:rsidRPr="00C624A2" w:rsidRDefault="00A722B6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  <w:r w:rsidRPr="00C624A2">
        <w:rPr>
          <w:sz w:val="22"/>
          <w:szCs w:val="16"/>
        </w:rPr>
        <w:t>Opis kursu (cele kształcenia)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180009" w:rsidRPr="00C624A2" w:rsidTr="00225B73">
        <w:trPr>
          <w:trHeight w:val="1365"/>
        </w:trPr>
        <w:tc>
          <w:tcPr>
            <w:tcW w:w="9640" w:type="dxa"/>
          </w:tcPr>
          <w:p w:rsidR="00F5104A" w:rsidRPr="00C624A2" w:rsidRDefault="00F5104A" w:rsidP="00F5104A">
            <w:pPr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>Depresje gospodarcze z towarzyszącym im uciążliwym bezrobociem, kryzysy fiskalne, krachy finansowe pozbawiają wielu ludzi ekonomic</w:t>
            </w:r>
            <w:bookmarkStart w:id="0" w:name="_GoBack"/>
            <w:bookmarkEnd w:id="0"/>
            <w:r w:rsidRPr="00C624A2">
              <w:rPr>
                <w:sz w:val="22"/>
                <w:szCs w:val="22"/>
              </w:rPr>
              <w:t>znych podstaw do zaspokajania podstawowych potrzeb społecznych – generują kryzysy społeczne. W takich warunkach wyradzają się liczne ludzkie problemy, które pogłębiają społeczne, ekonomiczne czy wręcz psychologiczne dysfunkcje jednostek. Taki stan rzeczy może prowadzić do zjawiska wykluczenia z rynku pracy, z dostępu do technologii czy innej infrastruktury</w:t>
            </w:r>
            <w:r w:rsidR="00876AD6" w:rsidRPr="00C624A2">
              <w:rPr>
                <w:sz w:val="22"/>
                <w:szCs w:val="22"/>
              </w:rPr>
              <w:t xml:space="preserve"> stanowiącej od egzystencji/dobrobycie jednostki</w:t>
            </w:r>
            <w:r w:rsidRPr="00C624A2">
              <w:rPr>
                <w:sz w:val="22"/>
                <w:szCs w:val="22"/>
              </w:rPr>
              <w:t xml:space="preserve">. </w:t>
            </w:r>
          </w:p>
          <w:p w:rsidR="00F5104A" w:rsidRPr="00C624A2" w:rsidRDefault="00F5104A" w:rsidP="00F5104A">
            <w:pPr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Wobec ujawniających się negatywnych efektów działania rynku oraz wypaczeń działania władzy publicznej sektor ekonomii społecznej wyrasta jako siła o dużym potencjale w zakresie podnoszenia efektywności alokacji zasobów. </w:t>
            </w:r>
          </w:p>
          <w:p w:rsidR="00C92F76" w:rsidRPr="00C624A2" w:rsidRDefault="002F3628" w:rsidP="00F5104A">
            <w:pPr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>C</w:t>
            </w:r>
            <w:r w:rsidR="00C92F76" w:rsidRPr="00C624A2">
              <w:rPr>
                <w:sz w:val="22"/>
                <w:szCs w:val="22"/>
              </w:rPr>
              <w:t xml:space="preserve">elem kursu jest ukazanie miejsca sektora ekonomii społecznej w konstelacji sektora publicznego, prywatnego i pozarządowego oraz przedstawienie funkcji </w:t>
            </w:r>
            <w:r w:rsidR="00F5104A" w:rsidRPr="00C624A2">
              <w:rPr>
                <w:sz w:val="22"/>
                <w:szCs w:val="22"/>
              </w:rPr>
              <w:t>ekonomii społecznej</w:t>
            </w:r>
            <w:r w:rsidR="00C92F76" w:rsidRPr="00C624A2">
              <w:rPr>
                <w:sz w:val="22"/>
                <w:szCs w:val="22"/>
              </w:rPr>
              <w:t xml:space="preserve"> w zakresie pobudzania kapitału ludzkiego, rozwoju kapitału społecznego, pełnienia funkcji zatrudnieniowych, w tym na rzecz osób oddalonych od rynku pracy oraz </w:t>
            </w:r>
            <w:r w:rsidR="00C624A2" w:rsidRPr="00C624A2">
              <w:rPr>
                <w:sz w:val="22"/>
                <w:szCs w:val="22"/>
              </w:rPr>
              <w:t>funkcji dostarczania</w:t>
            </w:r>
            <w:r w:rsidR="00C92F76" w:rsidRPr="00C624A2">
              <w:rPr>
                <w:sz w:val="22"/>
                <w:szCs w:val="22"/>
              </w:rPr>
              <w:t xml:space="preserve"> usług społecznych istotnych z punktu widzenia społeczności lokalnej.</w:t>
            </w:r>
          </w:p>
          <w:p w:rsidR="00C92F76" w:rsidRPr="00C624A2" w:rsidRDefault="00F5104A" w:rsidP="00F5104A">
            <w:pPr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>Obok funkcji widzianych z perspektywy tworzenia miejsc pracy, dostarczania usług socjalnych, generowania kapitału społecznego czy kształtowania postaw demokratycznych, s</w:t>
            </w:r>
            <w:r w:rsidR="00C92F76" w:rsidRPr="00C624A2">
              <w:rPr>
                <w:sz w:val="22"/>
                <w:szCs w:val="22"/>
              </w:rPr>
              <w:t>zczególna uwaga zostanie skoncentrowana na różnorodnych koncepcjach ekonomii społecznej</w:t>
            </w:r>
            <w:r w:rsidR="002F3628" w:rsidRPr="00C624A2">
              <w:rPr>
                <w:sz w:val="22"/>
                <w:szCs w:val="22"/>
              </w:rPr>
              <w:t xml:space="preserve"> (</w:t>
            </w:r>
            <w:proofErr w:type="spellStart"/>
            <w:r w:rsidR="002F3628" w:rsidRPr="00C624A2">
              <w:rPr>
                <w:sz w:val="22"/>
                <w:szCs w:val="22"/>
              </w:rPr>
              <w:t>integratywnej</w:t>
            </w:r>
            <w:proofErr w:type="spellEnd"/>
            <w:r w:rsidR="002F3628" w:rsidRPr="00C624A2">
              <w:rPr>
                <w:sz w:val="22"/>
                <w:szCs w:val="22"/>
              </w:rPr>
              <w:t>, kulturowo-etnicznej i emancypacyjnej)</w:t>
            </w:r>
            <w:r w:rsidRPr="00C624A2">
              <w:rPr>
                <w:sz w:val="22"/>
                <w:szCs w:val="22"/>
              </w:rPr>
              <w:t xml:space="preserve">. 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  <w:r w:rsidRPr="00C624A2">
        <w:rPr>
          <w:sz w:val="22"/>
          <w:szCs w:val="16"/>
        </w:rPr>
        <w:t>Warunki wstępne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AC700E" w:rsidRPr="00C624A2" w:rsidTr="00AC700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C700E" w:rsidRPr="00C624A2" w:rsidRDefault="00AC700E" w:rsidP="00AC700E">
            <w:pPr>
              <w:autoSpaceDE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</w:tcPr>
          <w:p w:rsidR="00AC700E" w:rsidRPr="00C624A2" w:rsidRDefault="00AC700E" w:rsidP="00AC700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Znajomość podstawowych pojęć i zjawisk z zakresu ekonomii i przedsiębiorczości. </w:t>
            </w:r>
          </w:p>
        </w:tc>
        <w:tc>
          <w:tcPr>
            <w:tcW w:w="7699" w:type="dxa"/>
            <w:vAlign w:val="center"/>
          </w:tcPr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</w:tc>
      </w:tr>
      <w:tr w:rsidR="00AC700E" w:rsidRPr="00C624A2" w:rsidTr="00AC700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C700E" w:rsidRPr="00C624A2" w:rsidRDefault="00AC700E" w:rsidP="00AC700E">
            <w:pPr>
              <w:autoSpaceDE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</w:tcPr>
          <w:p w:rsidR="00AC700E" w:rsidRPr="00C624A2" w:rsidRDefault="00AC700E" w:rsidP="00AC700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Umiejętności planowania i organizowania pracy, współpracy w grupie, komunikacji wyników pracy. </w:t>
            </w:r>
          </w:p>
        </w:tc>
        <w:tc>
          <w:tcPr>
            <w:tcW w:w="7699" w:type="dxa"/>
            <w:vAlign w:val="center"/>
          </w:tcPr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</w:tc>
      </w:tr>
      <w:tr w:rsidR="00AC700E" w:rsidRPr="00C624A2" w:rsidTr="00AC700E">
        <w:tc>
          <w:tcPr>
            <w:tcW w:w="1941" w:type="dxa"/>
            <w:shd w:val="clear" w:color="auto" w:fill="DBE5F1"/>
            <w:vAlign w:val="center"/>
          </w:tcPr>
          <w:p w:rsidR="00AC700E" w:rsidRPr="00C624A2" w:rsidRDefault="00AC700E" w:rsidP="00AC700E">
            <w:pPr>
              <w:autoSpaceDE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</w:tcPr>
          <w:p w:rsidR="00AC700E" w:rsidRPr="00C624A2" w:rsidRDefault="008C109E" w:rsidP="00AC700E">
            <w:pPr>
              <w:spacing w:before="120" w:after="120"/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>e</w:t>
            </w:r>
            <w:r w:rsidR="00AC700E" w:rsidRPr="00C624A2">
              <w:rPr>
                <w:sz w:val="22"/>
                <w:szCs w:val="22"/>
              </w:rPr>
              <w:t>konomia</w:t>
            </w:r>
            <w:r w:rsidRPr="00C624A2">
              <w:rPr>
                <w:sz w:val="22"/>
                <w:szCs w:val="22"/>
              </w:rPr>
              <w:t xml:space="preserve">, wybrane polityki publiczne </w:t>
            </w:r>
          </w:p>
        </w:tc>
        <w:tc>
          <w:tcPr>
            <w:tcW w:w="7699" w:type="dxa"/>
            <w:vAlign w:val="center"/>
          </w:tcPr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  <w:p w:rsidR="00AC700E" w:rsidRPr="00C624A2" w:rsidRDefault="00AC700E" w:rsidP="00AC700E">
            <w:pPr>
              <w:autoSpaceDE/>
              <w:rPr>
                <w:sz w:val="22"/>
                <w:szCs w:val="16"/>
              </w:rPr>
            </w:pPr>
          </w:p>
        </w:tc>
      </w:tr>
    </w:tbl>
    <w:p w:rsidR="00180009" w:rsidRPr="00C624A2" w:rsidRDefault="00180009" w:rsidP="00180009">
      <w:pPr>
        <w:rPr>
          <w:sz w:val="22"/>
          <w:szCs w:val="14"/>
        </w:rPr>
      </w:pPr>
    </w:p>
    <w:p w:rsidR="00180009" w:rsidRPr="00C624A2" w:rsidRDefault="00180009" w:rsidP="00180009">
      <w:pPr>
        <w:rPr>
          <w:sz w:val="22"/>
          <w:szCs w:val="14"/>
        </w:rPr>
      </w:pPr>
    </w:p>
    <w:p w:rsidR="00180009" w:rsidRPr="00C624A2" w:rsidRDefault="00180009" w:rsidP="00180009">
      <w:pPr>
        <w:rPr>
          <w:sz w:val="22"/>
          <w:szCs w:val="14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  <w:r w:rsidRPr="00C624A2">
        <w:rPr>
          <w:sz w:val="22"/>
          <w:szCs w:val="16"/>
        </w:rPr>
        <w:t>Efekty uczenia się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180009" w:rsidRPr="00C624A2" w:rsidTr="00225B7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Odniesienie do efektów kierunkowych</w:t>
            </w:r>
          </w:p>
        </w:tc>
      </w:tr>
      <w:tr w:rsidR="00180009" w:rsidRPr="00C624A2" w:rsidTr="008C109E">
        <w:trPr>
          <w:cantSplit/>
          <w:trHeight w:val="1092"/>
        </w:trPr>
        <w:tc>
          <w:tcPr>
            <w:tcW w:w="1979" w:type="dxa"/>
            <w:vMerge/>
          </w:tcPr>
          <w:p w:rsidR="00180009" w:rsidRPr="00C624A2" w:rsidRDefault="00180009" w:rsidP="00225B73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:rsidR="00180009" w:rsidRPr="00C624A2" w:rsidRDefault="00180009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W01</w:t>
            </w:r>
            <w:r w:rsidR="008C109E" w:rsidRPr="00C624A2">
              <w:rPr>
                <w:sz w:val="20"/>
                <w:szCs w:val="20"/>
              </w:rPr>
              <w:t xml:space="preserve"> student </w:t>
            </w:r>
            <w:r w:rsidR="002F3628" w:rsidRPr="00C624A2">
              <w:rPr>
                <w:sz w:val="20"/>
                <w:szCs w:val="20"/>
              </w:rPr>
              <w:t xml:space="preserve">ma pogłębioną wiedzę z zakresu funkcji </w:t>
            </w:r>
            <w:r w:rsidR="00574B51" w:rsidRPr="00C624A2">
              <w:rPr>
                <w:sz w:val="20"/>
                <w:szCs w:val="20"/>
              </w:rPr>
              <w:t xml:space="preserve">zatrudnieniowych, usługowych, pobudzania kapitału społecznego i ludzkiego podmiotów ekonomii społecznej oraz innych funkcji </w:t>
            </w:r>
            <w:r w:rsidR="002F3628" w:rsidRPr="00C624A2">
              <w:rPr>
                <w:sz w:val="20"/>
                <w:szCs w:val="20"/>
              </w:rPr>
              <w:t>jakie ekonomii społeczna pełni w gospodarce</w:t>
            </w:r>
            <w:r w:rsidR="00876AD6" w:rsidRPr="00C624A2">
              <w:rPr>
                <w:sz w:val="20"/>
                <w:szCs w:val="20"/>
              </w:rPr>
              <w:t>, wyróżnionych w literaturze przedmiotu,</w:t>
            </w:r>
          </w:p>
          <w:p w:rsidR="00F5104A" w:rsidRPr="00C624A2" w:rsidRDefault="00F5104A" w:rsidP="00225B73">
            <w:pPr>
              <w:rPr>
                <w:sz w:val="20"/>
                <w:szCs w:val="20"/>
              </w:rPr>
            </w:pPr>
          </w:p>
          <w:p w:rsidR="00D91B23" w:rsidRPr="00C624A2" w:rsidRDefault="008C109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 xml:space="preserve">W02 student </w:t>
            </w:r>
            <w:r w:rsidR="002F3628" w:rsidRPr="00C624A2">
              <w:rPr>
                <w:sz w:val="20"/>
                <w:szCs w:val="20"/>
              </w:rPr>
              <w:t xml:space="preserve">rozumie aspekty ekonomiczne, prawne, społeczne warunkujące zarządzanie podmiotami ekonomii społecznej, </w:t>
            </w:r>
          </w:p>
          <w:p w:rsidR="00D91B23" w:rsidRPr="00C624A2" w:rsidRDefault="00D91B23" w:rsidP="00225B73">
            <w:pPr>
              <w:rPr>
                <w:sz w:val="20"/>
                <w:szCs w:val="20"/>
              </w:rPr>
            </w:pPr>
          </w:p>
          <w:p w:rsidR="00180009" w:rsidRPr="00C624A2" w:rsidRDefault="00D91B23" w:rsidP="00225B73">
            <w:pPr>
              <w:rPr>
                <w:color w:val="000000" w:themeColor="text1"/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 xml:space="preserve">W03 </w:t>
            </w:r>
            <w:r w:rsidRPr="00C624A2">
              <w:rPr>
                <w:color w:val="000000" w:themeColor="text1"/>
                <w:sz w:val="20"/>
                <w:szCs w:val="20"/>
              </w:rPr>
              <w:t>s</w:t>
            </w:r>
            <w:r w:rsidR="002F3628" w:rsidRPr="00C624A2">
              <w:rPr>
                <w:color w:val="000000" w:themeColor="text1"/>
                <w:sz w:val="20"/>
                <w:szCs w:val="20"/>
              </w:rPr>
              <w:t>tudent ma poszerzoną wiedzę na temat wzajemnych oddziaływań i współzależności między sektorem ekonomii społecznej a sektorem publicznym i prywatnym.</w:t>
            </w:r>
          </w:p>
          <w:p w:rsidR="002F3628" w:rsidRPr="00C624A2" w:rsidRDefault="002F3628" w:rsidP="00225B73">
            <w:pPr>
              <w:rPr>
                <w:color w:val="000000" w:themeColor="text1"/>
                <w:sz w:val="20"/>
                <w:szCs w:val="20"/>
              </w:rPr>
            </w:pPr>
          </w:p>
          <w:p w:rsidR="00180009" w:rsidRPr="00C624A2" w:rsidRDefault="00D91B23" w:rsidP="00D91B23">
            <w:pPr>
              <w:rPr>
                <w:color w:val="FF0000"/>
                <w:sz w:val="20"/>
                <w:szCs w:val="20"/>
              </w:rPr>
            </w:pPr>
            <w:r w:rsidRPr="00C624A2">
              <w:rPr>
                <w:color w:val="000000" w:themeColor="text1"/>
                <w:sz w:val="20"/>
                <w:szCs w:val="20"/>
              </w:rPr>
              <w:t>W04 student ma</w:t>
            </w:r>
            <w:r w:rsidR="002F3628" w:rsidRPr="00C624A2">
              <w:rPr>
                <w:color w:val="000000" w:themeColor="text1"/>
                <w:sz w:val="20"/>
                <w:szCs w:val="20"/>
              </w:rPr>
              <w:t xml:space="preserve"> wiedz</w:t>
            </w:r>
            <w:r w:rsidRPr="00C624A2">
              <w:rPr>
                <w:color w:val="000000" w:themeColor="text1"/>
                <w:sz w:val="20"/>
                <w:szCs w:val="20"/>
              </w:rPr>
              <w:t>ę</w:t>
            </w:r>
            <w:r w:rsidR="002F3628" w:rsidRPr="00C624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4B51" w:rsidRPr="00C624A2">
              <w:rPr>
                <w:color w:val="000000" w:themeColor="text1"/>
                <w:sz w:val="20"/>
                <w:szCs w:val="20"/>
              </w:rPr>
              <w:t xml:space="preserve">na temat kontekstu powstania koncepcji ekonomii społecznej </w:t>
            </w:r>
          </w:p>
        </w:tc>
        <w:tc>
          <w:tcPr>
            <w:tcW w:w="2365" w:type="dxa"/>
          </w:tcPr>
          <w:p w:rsidR="00180009" w:rsidRPr="00C624A2" w:rsidRDefault="00AC700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K2_</w:t>
            </w:r>
            <w:r w:rsidR="00180009" w:rsidRPr="00C624A2">
              <w:rPr>
                <w:sz w:val="20"/>
                <w:szCs w:val="20"/>
              </w:rPr>
              <w:t xml:space="preserve">W01, </w:t>
            </w:r>
          </w:p>
          <w:p w:rsidR="0054632B" w:rsidRPr="00C624A2" w:rsidRDefault="0054632B" w:rsidP="00225B73">
            <w:pPr>
              <w:rPr>
                <w:sz w:val="20"/>
                <w:szCs w:val="20"/>
              </w:rPr>
            </w:pPr>
          </w:p>
          <w:p w:rsidR="00C624A2" w:rsidRDefault="00C624A2" w:rsidP="00225B73">
            <w:pPr>
              <w:rPr>
                <w:sz w:val="20"/>
                <w:szCs w:val="20"/>
              </w:rPr>
            </w:pPr>
          </w:p>
          <w:p w:rsidR="00C624A2" w:rsidRDefault="00C624A2" w:rsidP="00225B73">
            <w:pPr>
              <w:rPr>
                <w:sz w:val="20"/>
                <w:szCs w:val="20"/>
              </w:rPr>
            </w:pPr>
          </w:p>
          <w:p w:rsidR="00C624A2" w:rsidRDefault="00C624A2" w:rsidP="00225B73">
            <w:pPr>
              <w:rPr>
                <w:sz w:val="20"/>
                <w:szCs w:val="20"/>
              </w:rPr>
            </w:pPr>
          </w:p>
          <w:p w:rsidR="00C624A2" w:rsidRDefault="00C624A2" w:rsidP="00225B73">
            <w:pPr>
              <w:rPr>
                <w:sz w:val="20"/>
                <w:szCs w:val="20"/>
              </w:rPr>
            </w:pPr>
          </w:p>
          <w:p w:rsidR="00180009" w:rsidRPr="00C624A2" w:rsidRDefault="008C109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K2_W03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180009" w:rsidRPr="00C624A2" w:rsidTr="00225B7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Odniesienie do efektów kierunkowych</w:t>
            </w:r>
          </w:p>
        </w:tc>
      </w:tr>
      <w:tr w:rsidR="00180009" w:rsidRPr="00C624A2" w:rsidTr="00225B73">
        <w:trPr>
          <w:cantSplit/>
          <w:trHeight w:val="2116"/>
        </w:trPr>
        <w:tc>
          <w:tcPr>
            <w:tcW w:w="1985" w:type="dxa"/>
            <w:vMerge/>
          </w:tcPr>
          <w:p w:rsidR="00180009" w:rsidRPr="00C624A2" w:rsidRDefault="00180009" w:rsidP="00225B7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80009" w:rsidRDefault="00180009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U01</w:t>
            </w:r>
            <w:r w:rsidR="008C109E" w:rsidRPr="00C624A2">
              <w:rPr>
                <w:sz w:val="20"/>
                <w:szCs w:val="20"/>
              </w:rPr>
              <w:t xml:space="preserve"> student umie interpretować wybrane tendencje gospodarcze przez pryzmat roli ekonomii społecznej </w:t>
            </w:r>
          </w:p>
          <w:p w:rsidR="00C624A2" w:rsidRPr="00C624A2" w:rsidRDefault="00C624A2" w:rsidP="00225B73">
            <w:pPr>
              <w:rPr>
                <w:sz w:val="20"/>
                <w:szCs w:val="20"/>
              </w:rPr>
            </w:pPr>
          </w:p>
          <w:p w:rsidR="00180009" w:rsidRPr="00C624A2" w:rsidRDefault="008C109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 xml:space="preserve">U02 student ma umiejętność wychwytywania pożądanych relacji społeczno-gospodarczych niesionych specyfiką ekonomii społecznej </w:t>
            </w:r>
          </w:p>
        </w:tc>
        <w:tc>
          <w:tcPr>
            <w:tcW w:w="2410" w:type="dxa"/>
          </w:tcPr>
          <w:p w:rsidR="00180009" w:rsidRPr="00C624A2" w:rsidRDefault="00AC700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K2_</w:t>
            </w:r>
            <w:r w:rsidR="00180009" w:rsidRPr="00C624A2">
              <w:rPr>
                <w:sz w:val="20"/>
                <w:szCs w:val="20"/>
              </w:rPr>
              <w:t>U01</w:t>
            </w:r>
          </w:p>
          <w:p w:rsidR="008C109E" w:rsidRPr="00C624A2" w:rsidRDefault="008C109E" w:rsidP="00225B73">
            <w:pPr>
              <w:rPr>
                <w:sz w:val="20"/>
                <w:szCs w:val="20"/>
              </w:rPr>
            </w:pPr>
          </w:p>
          <w:p w:rsidR="00C624A2" w:rsidRDefault="00C624A2" w:rsidP="00805AAE">
            <w:pPr>
              <w:rPr>
                <w:sz w:val="20"/>
                <w:szCs w:val="20"/>
              </w:rPr>
            </w:pPr>
          </w:p>
          <w:p w:rsidR="00805AAE" w:rsidRPr="00C624A2" w:rsidRDefault="00805AAE" w:rsidP="00805AAE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K2_U01</w:t>
            </w:r>
          </w:p>
          <w:p w:rsidR="00805AAE" w:rsidRPr="00C624A2" w:rsidRDefault="00805AAE" w:rsidP="00225B73">
            <w:pPr>
              <w:rPr>
                <w:sz w:val="20"/>
                <w:szCs w:val="20"/>
              </w:rPr>
            </w:pP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180009" w:rsidRPr="00C624A2" w:rsidTr="00225B7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Odniesienie do efektów kierunkowych</w:t>
            </w:r>
          </w:p>
        </w:tc>
      </w:tr>
      <w:tr w:rsidR="00180009" w:rsidRPr="00C624A2" w:rsidTr="0054632B">
        <w:trPr>
          <w:cantSplit/>
          <w:trHeight w:val="1347"/>
        </w:trPr>
        <w:tc>
          <w:tcPr>
            <w:tcW w:w="1985" w:type="dxa"/>
            <w:vMerge/>
          </w:tcPr>
          <w:p w:rsidR="00180009" w:rsidRPr="00C624A2" w:rsidRDefault="00180009" w:rsidP="00225B7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80009" w:rsidRPr="00C624A2" w:rsidRDefault="00180009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K01</w:t>
            </w:r>
            <w:r w:rsidR="008C109E" w:rsidRPr="00C624A2">
              <w:rPr>
                <w:sz w:val="20"/>
                <w:szCs w:val="20"/>
              </w:rPr>
              <w:t xml:space="preserve"> student ma świadomość dynamiki i złożoności otaczającej rzeczywistości gospodarczej oraz ma argumenty na rzecz zasadności wspierania rozwoju ekonomii społecznej </w:t>
            </w:r>
          </w:p>
          <w:p w:rsidR="00180009" w:rsidRPr="00C624A2" w:rsidRDefault="00180009" w:rsidP="00225B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0009" w:rsidRPr="00C624A2" w:rsidRDefault="00AC700E" w:rsidP="00225B73">
            <w:pPr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K2_</w:t>
            </w:r>
            <w:r w:rsidR="00180009" w:rsidRPr="00C624A2">
              <w:rPr>
                <w:sz w:val="20"/>
                <w:szCs w:val="20"/>
              </w:rPr>
              <w:t>K01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80009" w:rsidRPr="00C624A2" w:rsidTr="00225B7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ind w:left="45" w:right="13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Organizacja</w:t>
            </w:r>
          </w:p>
        </w:tc>
      </w:tr>
      <w:tr w:rsidR="00180009" w:rsidRPr="00C624A2" w:rsidTr="00225B7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Wykład</w:t>
            </w:r>
          </w:p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Ćwiczenia w grupach</w:t>
            </w:r>
          </w:p>
        </w:tc>
      </w:tr>
      <w:tr w:rsidR="00180009" w:rsidRPr="00C624A2" w:rsidTr="00225B7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180009" w:rsidRPr="00C624A2" w:rsidTr="00225B7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180009" w:rsidRPr="00C624A2" w:rsidTr="00225B73">
        <w:trPr>
          <w:trHeight w:val="462"/>
        </w:trPr>
        <w:tc>
          <w:tcPr>
            <w:tcW w:w="1611" w:type="dxa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180009" w:rsidRPr="00C624A2" w:rsidRDefault="0049474C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54632B" w:rsidRPr="00C624A2" w:rsidRDefault="0054632B" w:rsidP="00180009">
      <w:pPr>
        <w:rPr>
          <w:sz w:val="22"/>
          <w:szCs w:val="14"/>
        </w:rPr>
      </w:pPr>
    </w:p>
    <w:p w:rsidR="0054632B" w:rsidRPr="00C624A2" w:rsidRDefault="0054632B" w:rsidP="00180009">
      <w:pPr>
        <w:rPr>
          <w:sz w:val="22"/>
          <w:szCs w:val="14"/>
        </w:rPr>
      </w:pPr>
    </w:p>
    <w:p w:rsidR="0054632B" w:rsidRPr="00C624A2" w:rsidRDefault="0054632B" w:rsidP="00180009">
      <w:pPr>
        <w:rPr>
          <w:sz w:val="22"/>
          <w:szCs w:val="14"/>
        </w:rPr>
      </w:pPr>
    </w:p>
    <w:p w:rsidR="00180009" w:rsidRPr="00C624A2" w:rsidRDefault="00180009" w:rsidP="00180009">
      <w:pPr>
        <w:rPr>
          <w:sz w:val="22"/>
          <w:szCs w:val="14"/>
        </w:rPr>
      </w:pPr>
      <w:r w:rsidRPr="00C624A2">
        <w:rPr>
          <w:sz w:val="22"/>
          <w:szCs w:val="14"/>
        </w:rPr>
        <w:t>Opis metod prowadzenia zajęć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RPr="00C624A2" w:rsidTr="00665F80">
        <w:trPr>
          <w:trHeight w:val="1086"/>
        </w:trPr>
        <w:tc>
          <w:tcPr>
            <w:tcW w:w="9622" w:type="dxa"/>
          </w:tcPr>
          <w:p w:rsidR="00180009" w:rsidRPr="00C624A2" w:rsidRDefault="00665F80" w:rsidP="00225B73">
            <w:pPr>
              <w:pStyle w:val="Zawartotabeli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Zajęcia zostaną prowadzone w formule wykładu interaktywnego, gdzie udział studentów w dyskusji będzie premiowany. Dyskusje będą inicjowane na podstawie wcześniej dokonanych analiz tekstów</w:t>
            </w:r>
            <w:r w:rsidR="00A93A3F" w:rsidRPr="00C624A2">
              <w:rPr>
                <w:sz w:val="22"/>
                <w:szCs w:val="16"/>
              </w:rPr>
              <w:t>. W trakcie semestru studenci będą pracowali nad esejem (pracą pisemną). Prowadzone w ten sposób studia własne będą stanowiły</w:t>
            </w:r>
            <w:r w:rsidR="00876AD6" w:rsidRPr="00C624A2">
              <w:rPr>
                <w:sz w:val="22"/>
                <w:szCs w:val="16"/>
              </w:rPr>
              <w:t xml:space="preserve"> </w:t>
            </w:r>
            <w:r w:rsidR="00A93A3F" w:rsidRPr="00C624A2">
              <w:rPr>
                <w:sz w:val="22"/>
                <w:szCs w:val="16"/>
              </w:rPr>
              <w:t xml:space="preserve">uzupełnienie rozważań prowadzonych w formie wykładu oraz dyskusji. </w:t>
            </w:r>
          </w:p>
        </w:tc>
      </w:tr>
    </w:tbl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180009" w:rsidRPr="00C624A2" w:rsidRDefault="00180009" w:rsidP="00180009">
      <w:pPr>
        <w:pStyle w:val="Zawartotabeli"/>
        <w:rPr>
          <w:sz w:val="22"/>
          <w:szCs w:val="16"/>
        </w:rPr>
      </w:pPr>
      <w:r w:rsidRPr="00C624A2">
        <w:rPr>
          <w:sz w:val="22"/>
          <w:szCs w:val="16"/>
        </w:rPr>
        <w:t>Formy sprawdzania efektów uczenia się</w:t>
      </w:r>
    </w:p>
    <w:p w:rsidR="00180009" w:rsidRPr="00C624A2" w:rsidRDefault="00180009" w:rsidP="00180009">
      <w:pPr>
        <w:pStyle w:val="Zawartotabeli"/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180009" w:rsidRPr="00C624A2" w:rsidTr="00225B7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 xml:space="preserve">E – </w:t>
            </w:r>
            <w:r w:rsidRPr="00C624A2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Pr="00C624A2" w:rsidRDefault="00180009" w:rsidP="00225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Inne</w:t>
            </w:r>
          </w:p>
        </w:tc>
      </w:tr>
      <w:tr w:rsidR="00180009" w:rsidRPr="00C624A2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4A2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Pr="00C624A2" w:rsidRDefault="009158A5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</w:tr>
      <w:tr w:rsidR="00180009" w:rsidRPr="00C624A2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Pr="00C624A2" w:rsidRDefault="00BC2481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</w:tr>
      <w:tr w:rsidR="00D91B23" w:rsidRPr="00C624A2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91B23" w:rsidRPr="00C624A2" w:rsidRDefault="00D91B23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91B23" w:rsidRPr="00C624A2" w:rsidRDefault="00D91B23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</w:tr>
      <w:tr w:rsidR="00D91B23" w:rsidRPr="00C624A2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91B23" w:rsidRPr="00C624A2" w:rsidRDefault="00D91B23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91B23" w:rsidRPr="00C624A2" w:rsidRDefault="00D91B23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91B23" w:rsidRPr="00C624A2" w:rsidRDefault="00D91B23" w:rsidP="00225B73">
            <w:pPr>
              <w:rPr>
                <w:sz w:val="22"/>
              </w:rPr>
            </w:pPr>
          </w:p>
        </w:tc>
      </w:tr>
      <w:tr w:rsidR="00180009" w:rsidRPr="00C624A2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Pr="00C624A2" w:rsidRDefault="00BC2481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</w:tr>
      <w:tr w:rsidR="00180009" w:rsidRPr="00C624A2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Pr="00C624A2" w:rsidRDefault="00BC2481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</w:tr>
      <w:tr w:rsidR="00180009" w:rsidRPr="00C624A2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49474C" w:rsidP="0049474C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Pr="00C624A2" w:rsidRDefault="00BC2481" w:rsidP="009158A5">
            <w:pPr>
              <w:jc w:val="center"/>
              <w:rPr>
                <w:sz w:val="22"/>
              </w:rPr>
            </w:pPr>
            <w:r w:rsidRPr="00C624A2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Pr="00C624A2" w:rsidRDefault="00180009" w:rsidP="00225B73">
            <w:pPr>
              <w:rPr>
                <w:sz w:val="22"/>
              </w:rPr>
            </w:pPr>
          </w:p>
        </w:tc>
      </w:tr>
    </w:tbl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180009" w:rsidRPr="00C624A2" w:rsidRDefault="00180009" w:rsidP="00180009">
      <w:pPr>
        <w:pStyle w:val="Zawartotabeli"/>
        <w:rPr>
          <w:sz w:val="22"/>
          <w:szCs w:val="16"/>
        </w:rPr>
      </w:pPr>
    </w:p>
    <w:p w:rsidR="00180009" w:rsidRPr="00C624A2" w:rsidRDefault="00180009" w:rsidP="00180009">
      <w:pPr>
        <w:pStyle w:val="Zawartotabeli"/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180009" w:rsidRPr="00C624A2" w:rsidTr="00225B73">
        <w:tc>
          <w:tcPr>
            <w:tcW w:w="1941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91B23" w:rsidRPr="00C624A2" w:rsidRDefault="009F7E2D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O</w:t>
            </w:r>
            <w:r w:rsidR="00800DAE" w:rsidRPr="00C624A2">
              <w:rPr>
                <w:sz w:val="22"/>
                <w:szCs w:val="16"/>
              </w:rPr>
              <w:t>cena kursu zostanie dokonana na podstawie</w:t>
            </w:r>
            <w:r w:rsidR="00D91B23" w:rsidRPr="00C624A2">
              <w:rPr>
                <w:sz w:val="22"/>
                <w:szCs w:val="16"/>
              </w:rPr>
              <w:t>:</w:t>
            </w:r>
          </w:p>
          <w:p w:rsidR="00D91B23" w:rsidRPr="00C624A2" w:rsidRDefault="00800DAE" w:rsidP="00D91B23">
            <w:pPr>
              <w:pStyle w:val="Zawartotabeli"/>
              <w:numPr>
                <w:ilvl w:val="0"/>
                <w:numId w:val="3"/>
              </w:numPr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 xml:space="preserve">aktywności studenta </w:t>
            </w:r>
            <w:r w:rsidR="00D91B23" w:rsidRPr="00C624A2">
              <w:rPr>
                <w:sz w:val="22"/>
                <w:szCs w:val="16"/>
              </w:rPr>
              <w:t>na zajęciach – udział w</w:t>
            </w:r>
            <w:r w:rsidRPr="00C624A2">
              <w:rPr>
                <w:sz w:val="22"/>
                <w:szCs w:val="16"/>
              </w:rPr>
              <w:t xml:space="preserve"> dyskusji</w:t>
            </w:r>
            <w:r w:rsidR="00D91B23" w:rsidRPr="00C624A2">
              <w:rPr>
                <w:sz w:val="22"/>
                <w:szCs w:val="16"/>
              </w:rPr>
              <w:t xml:space="preserve"> będzie rejestrowany po każdych zajęciach ilością zdobytych punktów lub oceną,</w:t>
            </w:r>
          </w:p>
          <w:p w:rsidR="00D91B23" w:rsidRPr="00C624A2" w:rsidRDefault="00D91B23" w:rsidP="00D91B23">
            <w:pPr>
              <w:pStyle w:val="Zawartotabeli"/>
              <w:numPr>
                <w:ilvl w:val="0"/>
                <w:numId w:val="3"/>
              </w:numPr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napisani</w:t>
            </w:r>
            <w:r w:rsidR="00662736" w:rsidRPr="00C624A2">
              <w:rPr>
                <w:sz w:val="22"/>
                <w:szCs w:val="16"/>
              </w:rPr>
              <w:t>a</w:t>
            </w:r>
            <w:r w:rsidRPr="00C624A2">
              <w:rPr>
                <w:sz w:val="22"/>
                <w:szCs w:val="16"/>
              </w:rPr>
              <w:t xml:space="preserve"> eseju oceniane</w:t>
            </w:r>
            <w:r w:rsidR="00662736" w:rsidRPr="00C624A2">
              <w:rPr>
                <w:sz w:val="22"/>
                <w:szCs w:val="16"/>
              </w:rPr>
              <w:t>go</w:t>
            </w:r>
            <w:r w:rsidRPr="00C624A2">
              <w:rPr>
                <w:sz w:val="22"/>
                <w:szCs w:val="16"/>
              </w:rPr>
              <w:t xml:space="preserve"> w kategoriach zaliczony – niezaliczony, </w:t>
            </w:r>
          </w:p>
          <w:p w:rsidR="00180009" w:rsidRPr="00C624A2" w:rsidRDefault="00D91B23" w:rsidP="00D91B23">
            <w:pPr>
              <w:pStyle w:val="Zawartotabeli"/>
              <w:numPr>
                <w:ilvl w:val="0"/>
                <w:numId w:val="3"/>
              </w:numPr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oceny z egzaminu pisemnego, wyznaczanej na podstawie następujących procentów zdobytych z odpowiedzi na pytania egzaminacyjne:</w:t>
            </w:r>
          </w:p>
          <w:p w:rsidR="00CB2EF3" w:rsidRPr="00C624A2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 xml:space="preserve">60% </w:t>
            </w:r>
            <w:proofErr w:type="spellStart"/>
            <w:r w:rsidRPr="00C624A2">
              <w:rPr>
                <w:sz w:val="22"/>
                <w:szCs w:val="16"/>
              </w:rPr>
              <w:t>dst</w:t>
            </w:r>
            <w:proofErr w:type="spellEnd"/>
            <w:r w:rsidRPr="00C624A2">
              <w:rPr>
                <w:sz w:val="22"/>
                <w:szCs w:val="16"/>
              </w:rPr>
              <w:t xml:space="preserve"> </w:t>
            </w:r>
          </w:p>
          <w:p w:rsidR="00CB2EF3" w:rsidRPr="00C624A2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70% +</w:t>
            </w:r>
            <w:proofErr w:type="spellStart"/>
            <w:r w:rsidRPr="00C624A2">
              <w:rPr>
                <w:sz w:val="22"/>
                <w:szCs w:val="16"/>
              </w:rPr>
              <w:t>dst</w:t>
            </w:r>
            <w:proofErr w:type="spellEnd"/>
            <w:r w:rsidRPr="00C624A2">
              <w:rPr>
                <w:sz w:val="22"/>
                <w:szCs w:val="16"/>
              </w:rPr>
              <w:t xml:space="preserve"> </w:t>
            </w:r>
          </w:p>
          <w:p w:rsidR="00CB2EF3" w:rsidRPr="00C624A2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 xml:space="preserve">75% </w:t>
            </w:r>
            <w:proofErr w:type="spellStart"/>
            <w:r w:rsidRPr="00C624A2">
              <w:rPr>
                <w:sz w:val="22"/>
                <w:szCs w:val="16"/>
              </w:rPr>
              <w:t>db</w:t>
            </w:r>
            <w:proofErr w:type="spellEnd"/>
            <w:r w:rsidRPr="00C624A2">
              <w:rPr>
                <w:sz w:val="22"/>
                <w:szCs w:val="16"/>
              </w:rPr>
              <w:t xml:space="preserve"> </w:t>
            </w:r>
          </w:p>
          <w:p w:rsidR="00CB2EF3" w:rsidRPr="00C624A2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>80% +</w:t>
            </w:r>
            <w:proofErr w:type="spellStart"/>
            <w:r w:rsidRPr="00C624A2">
              <w:rPr>
                <w:sz w:val="22"/>
                <w:szCs w:val="16"/>
              </w:rPr>
              <w:t>db</w:t>
            </w:r>
            <w:proofErr w:type="spellEnd"/>
            <w:r w:rsidRPr="00C624A2">
              <w:rPr>
                <w:sz w:val="22"/>
                <w:szCs w:val="16"/>
              </w:rPr>
              <w:t xml:space="preserve"> </w:t>
            </w:r>
          </w:p>
          <w:p w:rsidR="00180009" w:rsidRPr="00C624A2" w:rsidRDefault="00CB2EF3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 xml:space="preserve">90-100% </w:t>
            </w:r>
            <w:proofErr w:type="spellStart"/>
            <w:r w:rsidRPr="00C624A2">
              <w:rPr>
                <w:sz w:val="22"/>
                <w:szCs w:val="16"/>
              </w:rPr>
              <w:t>bdb</w:t>
            </w:r>
            <w:proofErr w:type="spellEnd"/>
          </w:p>
          <w:p w:rsidR="007D426D" w:rsidRPr="00C624A2" w:rsidRDefault="00D91B23" w:rsidP="00656310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C624A2">
              <w:rPr>
                <w:sz w:val="22"/>
                <w:szCs w:val="16"/>
              </w:rPr>
              <w:t xml:space="preserve">Końcowa ocena z kursu będzie średnią ważoną </w:t>
            </w:r>
            <w:r w:rsidR="00656310" w:rsidRPr="00C624A2">
              <w:rPr>
                <w:sz w:val="22"/>
                <w:szCs w:val="16"/>
              </w:rPr>
              <w:t xml:space="preserve">wyniku otrzymanego przez studenta z udziału w dyskusji (30%), z napisania eseju (wynik 1 lub 0, udział 20%), oraz oceny z egzaminu (50%) 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180009" w:rsidRPr="00C624A2" w:rsidTr="00225B73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180009" w:rsidRPr="00C624A2" w:rsidRDefault="00180009" w:rsidP="00225B73">
            <w:pPr>
              <w:autoSpaceDE/>
              <w:spacing w:after="57"/>
              <w:jc w:val="center"/>
              <w:rPr>
                <w:sz w:val="20"/>
                <w:szCs w:val="20"/>
              </w:rPr>
            </w:pPr>
            <w:r w:rsidRPr="00C624A2">
              <w:rPr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180009" w:rsidRPr="00C624A2" w:rsidRDefault="00180009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  <w:p w:rsidR="00180009" w:rsidRPr="00C624A2" w:rsidRDefault="00180009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22"/>
        </w:rPr>
      </w:pPr>
      <w:r w:rsidRPr="00C624A2">
        <w:rPr>
          <w:sz w:val="22"/>
          <w:szCs w:val="22"/>
        </w:rPr>
        <w:t>Treści merytoryczne (wykaz tematów)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RPr="00C624A2" w:rsidTr="00225B73">
        <w:trPr>
          <w:trHeight w:val="1136"/>
        </w:trPr>
        <w:tc>
          <w:tcPr>
            <w:tcW w:w="9622" w:type="dxa"/>
          </w:tcPr>
          <w:p w:rsidR="00180009" w:rsidRPr="00C624A2" w:rsidRDefault="00CB2EF3" w:rsidP="00CB2EF3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C624A2">
              <w:rPr>
                <w:rFonts w:ascii="Times New Roman" w:hAnsi="Times New Roman" w:cs="Times New Roman"/>
                <w:sz w:val="22"/>
              </w:rPr>
              <w:t xml:space="preserve">Istota ekonomii społecznej – kwalifikacje definicyjne, obszary działalności, </w:t>
            </w:r>
            <w:r w:rsidR="00574B51" w:rsidRPr="00C624A2">
              <w:rPr>
                <w:rFonts w:ascii="Times New Roman" w:hAnsi="Times New Roman" w:cs="Times New Roman"/>
                <w:sz w:val="22"/>
              </w:rPr>
              <w:t xml:space="preserve">rodzaje </w:t>
            </w:r>
            <w:r w:rsidRPr="00C624A2">
              <w:rPr>
                <w:rFonts w:ascii="Times New Roman" w:hAnsi="Times New Roman" w:cs="Times New Roman"/>
                <w:sz w:val="22"/>
              </w:rPr>
              <w:t>podmiot</w:t>
            </w:r>
            <w:r w:rsidR="00574B51" w:rsidRPr="00C624A2">
              <w:rPr>
                <w:rFonts w:ascii="Times New Roman" w:hAnsi="Times New Roman" w:cs="Times New Roman"/>
                <w:sz w:val="22"/>
              </w:rPr>
              <w:t>ów</w:t>
            </w:r>
            <w:r w:rsidRPr="00C624A2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:rsidR="00CB2EF3" w:rsidRPr="00C624A2" w:rsidRDefault="00CB2EF3" w:rsidP="00CB2EF3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24A2">
              <w:rPr>
                <w:rFonts w:ascii="Times New Roman" w:hAnsi="Times New Roman" w:cs="Times New Roman"/>
                <w:sz w:val="22"/>
              </w:rPr>
              <w:t xml:space="preserve">Modele ekonomii społecznej </w:t>
            </w:r>
            <w:r w:rsidRPr="00C624A2">
              <w:rPr>
                <w:rFonts w:ascii="Times New Roman" w:hAnsi="Times New Roman" w:cs="Times New Roman"/>
                <w:sz w:val="22"/>
                <w:szCs w:val="22"/>
              </w:rPr>
              <w:t>na świecie</w:t>
            </w:r>
            <w:r w:rsidR="00574B51" w:rsidRPr="00C624A2">
              <w:rPr>
                <w:rFonts w:ascii="Times New Roman" w:hAnsi="Times New Roman" w:cs="Times New Roman"/>
                <w:sz w:val="22"/>
                <w:szCs w:val="22"/>
              </w:rPr>
              <w:t xml:space="preserve"> – modele współpracy z sektorem prywatnym i publicznym (korzyści współpracy, zadania i funkcje ekonomii społecznej w kontekście relacji z rynkiem: tzw. społecznej kontroli rynku, kompensowaniu deficytów rynku czy poszukiwaniu nowych kierunków organizacji rynku, współpraca z administracją publiczną różnych szczebli w kontekście sprostania aktualnym wyzwaniom polityki społecznej);</w:t>
            </w:r>
          </w:p>
          <w:p w:rsidR="00CB2EF3" w:rsidRPr="00C624A2" w:rsidRDefault="00CB2EF3" w:rsidP="00CB2EF3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24A2">
              <w:rPr>
                <w:rFonts w:ascii="Times New Roman" w:hAnsi="Times New Roman" w:cs="Times New Roman"/>
                <w:sz w:val="22"/>
                <w:szCs w:val="22"/>
              </w:rPr>
              <w:t>Instytucjonalne podstawy rozwoju ekonomii społecznej</w:t>
            </w:r>
            <w:r w:rsidR="00574B51" w:rsidRPr="00C624A2">
              <w:rPr>
                <w:rFonts w:ascii="Times New Roman" w:hAnsi="Times New Roman" w:cs="Times New Roman"/>
                <w:sz w:val="22"/>
                <w:szCs w:val="22"/>
              </w:rPr>
              <w:t xml:space="preserve"> oraz historyczny kontekst rozwoju koncepcji ekonomii społecznej;</w:t>
            </w:r>
          </w:p>
          <w:p w:rsidR="00574B51" w:rsidRPr="00C624A2" w:rsidRDefault="00574B51" w:rsidP="00CB2EF3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24A2">
              <w:rPr>
                <w:rFonts w:ascii="Times New Roman" w:hAnsi="Times New Roman" w:cs="Times New Roman"/>
                <w:sz w:val="22"/>
                <w:szCs w:val="22"/>
              </w:rPr>
              <w:t>Funkcje podmiotów ekonomii społecznej w zakresie zatrudnienia i pobudzania kapitału ludzkiego, dostarczania usług społecznych, pobudzania kapitału społecznego, kształtowania postaw demokratycznych i inne;</w:t>
            </w:r>
          </w:p>
          <w:p w:rsidR="00CB2EF3" w:rsidRPr="00C624A2" w:rsidRDefault="00CB2EF3" w:rsidP="00CB2EF3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24A2">
              <w:rPr>
                <w:rFonts w:ascii="Times New Roman" w:hAnsi="Times New Roman" w:cs="Times New Roman"/>
                <w:sz w:val="22"/>
                <w:szCs w:val="22"/>
              </w:rPr>
              <w:t xml:space="preserve">Wybrane wyniki sektora ekonomii społecznej w Polsce i na świecie </w:t>
            </w:r>
          </w:p>
          <w:p w:rsidR="007D426D" w:rsidRPr="00C624A2" w:rsidRDefault="007D426D" w:rsidP="00FD4122">
            <w:pPr>
              <w:pStyle w:val="Tekstdymka1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80009" w:rsidRPr="00C624A2" w:rsidRDefault="00180009" w:rsidP="00180009">
      <w:pPr>
        <w:rPr>
          <w:sz w:val="22"/>
          <w:szCs w:val="22"/>
        </w:rPr>
      </w:pPr>
    </w:p>
    <w:p w:rsidR="00180009" w:rsidRPr="00C624A2" w:rsidRDefault="00180009" w:rsidP="00180009">
      <w:pPr>
        <w:rPr>
          <w:sz w:val="22"/>
          <w:szCs w:val="22"/>
        </w:rPr>
      </w:pPr>
      <w:r w:rsidRPr="00C624A2">
        <w:rPr>
          <w:sz w:val="22"/>
          <w:szCs w:val="22"/>
        </w:rPr>
        <w:t>Wykaz literatury podstawowej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RPr="00C624A2" w:rsidTr="009D0989">
        <w:trPr>
          <w:trHeight w:val="507"/>
        </w:trPr>
        <w:tc>
          <w:tcPr>
            <w:tcW w:w="9622" w:type="dxa"/>
          </w:tcPr>
          <w:p w:rsidR="00FD4122" w:rsidRPr="00C624A2" w:rsidRDefault="00FD4122" w:rsidP="00FD4122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Sałustowicz</w:t>
            </w:r>
            <w:proofErr w:type="spellEnd"/>
            <w:r w:rsidRPr="00C624A2">
              <w:rPr>
                <w:sz w:val="22"/>
                <w:szCs w:val="22"/>
              </w:rPr>
              <w:t xml:space="preserve"> P., Pojecie, koncepcje i funkcje ekonomii społecznej „Ekonomia społeczna. Teksty”, nr 2/2007.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Zboroń</w:t>
            </w:r>
            <w:proofErr w:type="spellEnd"/>
            <w:r w:rsidRPr="00C624A2">
              <w:rPr>
                <w:sz w:val="22"/>
                <w:szCs w:val="22"/>
              </w:rPr>
              <w:t xml:space="preserve"> H., Ekonomia społeczna a ekonomia rynku – alternatywa czy dopełnienie?, Studia </w:t>
            </w:r>
            <w:proofErr w:type="spellStart"/>
            <w:r w:rsidRPr="00C624A2">
              <w:rPr>
                <w:sz w:val="22"/>
                <w:szCs w:val="22"/>
              </w:rPr>
              <w:t>Oeconomica</w:t>
            </w:r>
            <w:proofErr w:type="spellEnd"/>
            <w:r w:rsidRPr="00C624A2">
              <w:rPr>
                <w:sz w:val="22"/>
                <w:szCs w:val="22"/>
              </w:rPr>
              <w:t xml:space="preserve"> </w:t>
            </w:r>
            <w:proofErr w:type="spellStart"/>
            <w:r w:rsidRPr="00C624A2">
              <w:rPr>
                <w:sz w:val="22"/>
                <w:szCs w:val="22"/>
              </w:rPr>
              <w:t>Posnaniensia</w:t>
            </w:r>
            <w:proofErr w:type="spellEnd"/>
            <w:r w:rsidRPr="00C624A2">
              <w:rPr>
                <w:sz w:val="22"/>
                <w:szCs w:val="22"/>
              </w:rPr>
              <w:t>, 2015/7, Poznań</w:t>
            </w:r>
            <w:r w:rsidR="00FD4122" w:rsidRPr="00C624A2">
              <w:rPr>
                <w:sz w:val="22"/>
                <w:szCs w:val="22"/>
              </w:rPr>
              <w:t>.</w:t>
            </w:r>
          </w:p>
          <w:p w:rsidR="00FD4122" w:rsidRPr="00C624A2" w:rsidRDefault="00FD4122" w:rsidP="00FD4122">
            <w:pPr>
              <w:rPr>
                <w:sz w:val="22"/>
                <w:szCs w:val="22"/>
                <w:lang w:val="en-US"/>
              </w:rPr>
            </w:pPr>
            <w:proofErr w:type="spellStart"/>
            <w:r w:rsidRPr="00C624A2">
              <w:rPr>
                <w:sz w:val="22"/>
                <w:szCs w:val="22"/>
                <w:lang w:val="en-US"/>
              </w:rPr>
              <w:t>Davister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C624A2">
              <w:rPr>
                <w:sz w:val="22"/>
                <w:szCs w:val="22"/>
                <w:lang w:val="en-US"/>
              </w:rPr>
              <w:t>Defourny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 xml:space="preserve"> J., Gregoire O., Work Integration Social Enterprises in the European Union: An Overview of Existing Models., </w:t>
            </w:r>
            <w:r w:rsidR="00662736" w:rsidRPr="00C624A2">
              <w:rPr>
                <w:sz w:val="22"/>
                <w:szCs w:val="22"/>
                <w:lang w:val="en-US"/>
              </w:rPr>
              <w:t xml:space="preserve">2004, </w:t>
            </w:r>
            <w:r w:rsidRPr="00C624A2">
              <w:rPr>
                <w:sz w:val="22"/>
                <w:szCs w:val="22"/>
                <w:lang w:val="en-US"/>
              </w:rPr>
              <w:t xml:space="preserve">EMES European Research Network, http://orbi.ulg. </w:t>
            </w:r>
            <w:proofErr w:type="spellStart"/>
            <w:r w:rsidRPr="00C624A2">
              <w:rPr>
                <w:sz w:val="22"/>
                <w:szCs w:val="22"/>
                <w:lang w:val="en-US"/>
              </w:rPr>
              <w:t>ac.be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C624A2">
              <w:rPr>
                <w:sz w:val="22"/>
                <w:szCs w:val="22"/>
                <w:lang w:val="en-US"/>
              </w:rPr>
              <w:t>bitstream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>/2268/107996/1/04-2%20WISE%20in%20the%20EU.pdf (</w:t>
            </w:r>
            <w:proofErr w:type="spellStart"/>
            <w:r w:rsidRPr="00C624A2">
              <w:rPr>
                <w:sz w:val="22"/>
                <w:szCs w:val="22"/>
                <w:lang w:val="en-US"/>
              </w:rPr>
              <w:t>dostęp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 xml:space="preserve">: 13.02.2017). </w:t>
            </w:r>
          </w:p>
          <w:p w:rsidR="00FD4122" w:rsidRPr="00C624A2" w:rsidRDefault="00FD4122" w:rsidP="007D426D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Defourny</w:t>
            </w:r>
            <w:proofErr w:type="spellEnd"/>
            <w:r w:rsidRPr="00C624A2">
              <w:rPr>
                <w:sz w:val="22"/>
                <w:szCs w:val="22"/>
              </w:rPr>
              <w:t xml:space="preserve"> J, </w:t>
            </w:r>
            <w:proofErr w:type="spellStart"/>
            <w:r w:rsidRPr="00C624A2">
              <w:rPr>
                <w:sz w:val="22"/>
                <w:szCs w:val="22"/>
              </w:rPr>
              <w:t>Develtere</w:t>
            </w:r>
            <w:proofErr w:type="spellEnd"/>
            <w:r w:rsidRPr="00C624A2">
              <w:rPr>
                <w:sz w:val="22"/>
                <w:szCs w:val="22"/>
              </w:rPr>
              <w:t xml:space="preserve"> P., Ekonomia społeczna: ogólnoświatowy trzeci sektor, (w:) Antologia kluczowych tekstów. Przedsiębiorstwo społeczne, Fundacja Inicjatyw Społeczno-Ekonomicznych, Warszawa 2008. </w:t>
            </w:r>
          </w:p>
          <w:p w:rsidR="007D426D" w:rsidRPr="00C624A2" w:rsidRDefault="00FD4122" w:rsidP="007D426D">
            <w:pPr>
              <w:rPr>
                <w:sz w:val="22"/>
                <w:szCs w:val="16"/>
              </w:rPr>
            </w:pPr>
            <w:r w:rsidRPr="00C624A2">
              <w:rPr>
                <w:sz w:val="22"/>
                <w:szCs w:val="22"/>
              </w:rPr>
              <w:t>Wokół ekonomii społecznej, red. M. Frączek, J. Hausner, S. Mazur, MSAP, Kraków 2012.</w:t>
            </w:r>
            <w:r w:rsidRPr="00C624A2">
              <w:rPr>
                <w:sz w:val="22"/>
                <w:szCs w:val="16"/>
              </w:rPr>
              <w:t xml:space="preserve"> 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  <w:r w:rsidRPr="00C624A2">
        <w:rPr>
          <w:sz w:val="22"/>
          <w:szCs w:val="16"/>
        </w:rPr>
        <w:t>Wykaz literatury uzupełniającej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RPr="00C624A2" w:rsidTr="00225B73">
        <w:trPr>
          <w:trHeight w:val="1112"/>
        </w:trPr>
        <w:tc>
          <w:tcPr>
            <w:tcW w:w="9622" w:type="dxa"/>
          </w:tcPr>
          <w:p w:rsidR="00FD4122" w:rsidRPr="00C624A2" w:rsidRDefault="007D426D" w:rsidP="007D426D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Bohdziewicz-Lulewicz</w:t>
            </w:r>
            <w:proofErr w:type="spellEnd"/>
            <w:r w:rsidRPr="00C624A2">
              <w:rPr>
                <w:sz w:val="22"/>
                <w:szCs w:val="22"/>
              </w:rPr>
              <w:t xml:space="preserve"> M., Monitoring kondycji sektora ekonomii społecznej w Małopolsce </w:t>
            </w:r>
            <w:r w:rsidR="00662736" w:rsidRPr="00C624A2">
              <w:rPr>
                <w:sz w:val="22"/>
                <w:szCs w:val="22"/>
              </w:rPr>
              <w:t xml:space="preserve">2016, </w:t>
            </w:r>
            <w:r w:rsidRPr="00C624A2">
              <w:rPr>
                <w:sz w:val="22"/>
                <w:szCs w:val="22"/>
              </w:rPr>
              <w:t>(i kolejne lata)</w:t>
            </w:r>
            <w:r w:rsidR="00FD4122" w:rsidRPr="00C624A2">
              <w:rPr>
                <w:sz w:val="22"/>
                <w:szCs w:val="22"/>
              </w:rPr>
              <w:t>.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Domański S.R., Kapitał ludzki i wzrost gospodarczy, Wydawnictwo Naukowe PWN, Warszawa 1993. </w:t>
            </w:r>
          </w:p>
          <w:p w:rsidR="007D426D" w:rsidRPr="00C624A2" w:rsidRDefault="007D426D" w:rsidP="007D426D">
            <w:pPr>
              <w:rPr>
                <w:sz w:val="22"/>
                <w:szCs w:val="22"/>
                <w:lang w:val="en-US"/>
              </w:rPr>
            </w:pPr>
            <w:r w:rsidRPr="00C624A2">
              <w:rPr>
                <w:sz w:val="22"/>
                <w:szCs w:val="22"/>
                <w:lang w:val="en-US"/>
              </w:rPr>
              <w:t xml:space="preserve">Evers A., </w:t>
            </w:r>
            <w:proofErr w:type="spellStart"/>
            <w:r w:rsidRPr="00C624A2">
              <w:rPr>
                <w:sz w:val="22"/>
                <w:szCs w:val="22"/>
                <w:lang w:val="en-US"/>
              </w:rPr>
              <w:t>Laville</w:t>
            </w:r>
            <w:proofErr w:type="spellEnd"/>
            <w:r w:rsidRPr="00C624A2">
              <w:rPr>
                <w:sz w:val="22"/>
                <w:szCs w:val="22"/>
                <w:lang w:val="en-US"/>
              </w:rPr>
              <w:t xml:space="preserve"> J.L., The Third Sector in Europe, Edward Elgar Publishing Limited, Cheltenham 2004. 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KPRES, Krajowy Program Rozwoju Ekonomii Społecznej  </w:t>
            </w:r>
            <w:r w:rsidR="00FD4122" w:rsidRPr="00C624A2">
              <w:rPr>
                <w:sz w:val="22"/>
                <w:szCs w:val="22"/>
              </w:rPr>
              <w:t>http://pozytek.gov.pl/Krajowy,Program,Rozwoju,Ekonomii,Spolecznej,3495.html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Kubacka E. (red.), Lombardzkie mechanizmy finansowe wspierające ekonomię społeczną. Rekomendacje dla Małopolski, Kraków 2013. 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Mazur S., </w:t>
            </w:r>
            <w:proofErr w:type="spellStart"/>
            <w:r w:rsidRPr="00C624A2">
              <w:rPr>
                <w:sz w:val="22"/>
                <w:szCs w:val="22"/>
              </w:rPr>
              <w:t>Pacut</w:t>
            </w:r>
            <w:proofErr w:type="spellEnd"/>
            <w:r w:rsidRPr="00C624A2">
              <w:rPr>
                <w:sz w:val="22"/>
                <w:szCs w:val="22"/>
              </w:rPr>
              <w:t xml:space="preserve"> A., Ekonomia społeczna i jej wartości konstytutywne, „Ekonomia społeczna. Teksty”, nr 3/2006. 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Putnam</w:t>
            </w:r>
            <w:proofErr w:type="spellEnd"/>
            <w:r w:rsidRPr="00C624A2">
              <w:rPr>
                <w:sz w:val="22"/>
                <w:szCs w:val="22"/>
              </w:rPr>
              <w:t xml:space="preserve"> R., </w:t>
            </w:r>
            <w:proofErr w:type="spellStart"/>
            <w:r w:rsidRPr="00C624A2">
              <w:rPr>
                <w:sz w:val="22"/>
                <w:szCs w:val="22"/>
              </w:rPr>
              <w:t>Leonardi</w:t>
            </w:r>
            <w:proofErr w:type="spellEnd"/>
            <w:r w:rsidRPr="00C624A2">
              <w:rPr>
                <w:sz w:val="22"/>
                <w:szCs w:val="22"/>
              </w:rPr>
              <w:t xml:space="preserve"> R., </w:t>
            </w:r>
            <w:proofErr w:type="spellStart"/>
            <w:r w:rsidRPr="00C624A2">
              <w:rPr>
                <w:sz w:val="22"/>
                <w:szCs w:val="22"/>
              </w:rPr>
              <w:t>Nanetti</w:t>
            </w:r>
            <w:proofErr w:type="spellEnd"/>
            <w:r w:rsidRPr="00C624A2">
              <w:rPr>
                <w:sz w:val="22"/>
                <w:szCs w:val="22"/>
              </w:rPr>
              <w:t xml:space="preserve"> R., Demokracja w działaniu: Tradycje obywatelskie we współczesnych Włoszech, Kraków-Warszawa, 1995. 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>Europa 2020. Strategia na rzecz inteligentnego i zrównoważonego rozwoju sprzyjającego włączeniu społecznemu (2010). Bruksela: Komisja Europejska</w:t>
            </w:r>
            <w:r w:rsidR="00FD4122" w:rsidRPr="00C624A2">
              <w:rPr>
                <w:sz w:val="22"/>
                <w:szCs w:val="22"/>
              </w:rPr>
              <w:t>.</w:t>
            </w:r>
          </w:p>
          <w:p w:rsidR="007D426D" w:rsidRPr="00C624A2" w:rsidRDefault="00FD4122" w:rsidP="00225B73">
            <w:pPr>
              <w:rPr>
                <w:sz w:val="22"/>
                <w:szCs w:val="22"/>
              </w:rPr>
            </w:pPr>
            <w:proofErr w:type="spellStart"/>
            <w:r w:rsidRPr="00C624A2">
              <w:rPr>
                <w:sz w:val="22"/>
                <w:szCs w:val="22"/>
              </w:rPr>
              <w:t>Grewiński</w:t>
            </w:r>
            <w:proofErr w:type="spellEnd"/>
            <w:r w:rsidRPr="00C624A2">
              <w:rPr>
                <w:sz w:val="22"/>
                <w:szCs w:val="22"/>
              </w:rPr>
              <w:t xml:space="preserve"> M., Rymsza M., Polityka aktywizacji w Polsce. Usługi reintegracji w sektorze gospodarki społecznej, Wyższa Szkoła Pedagogiczna TWP w Warszawie, Warszawa</w:t>
            </w:r>
            <w:r w:rsidR="00662736" w:rsidRPr="00C624A2">
              <w:rPr>
                <w:sz w:val="22"/>
                <w:szCs w:val="22"/>
              </w:rPr>
              <w:t xml:space="preserve"> 2011.</w:t>
            </w:r>
          </w:p>
          <w:p w:rsidR="007D426D" w:rsidRPr="00C624A2" w:rsidRDefault="007D426D" w:rsidP="007D426D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Marta </w:t>
            </w:r>
            <w:proofErr w:type="spellStart"/>
            <w:r w:rsidRPr="00C624A2">
              <w:rPr>
                <w:sz w:val="22"/>
                <w:szCs w:val="22"/>
              </w:rPr>
              <w:t>Bohdziewicz-Lulewicz</w:t>
            </w:r>
            <w:proofErr w:type="spellEnd"/>
            <w:r w:rsidRPr="00C624A2">
              <w:rPr>
                <w:sz w:val="22"/>
                <w:szCs w:val="22"/>
              </w:rPr>
              <w:t xml:space="preserve">, Wzmacnianie funkcji ekonomii społecznej z poziomu regionu. Rozważania </w:t>
            </w:r>
            <w:r w:rsidRPr="00C624A2">
              <w:rPr>
                <w:sz w:val="22"/>
                <w:szCs w:val="22"/>
              </w:rPr>
              <w:lastRenderedPageBreak/>
              <w:t>na przykładzie założeń i efektów projektu Regionalnego Ośrodka Polityki Społecznej w Krakowie pn. „Akademia Rozwoju Ekonomii Społecznej”</w:t>
            </w:r>
            <w:r w:rsidR="00FD4122" w:rsidRPr="00C624A2">
              <w:rPr>
                <w:sz w:val="22"/>
                <w:szCs w:val="22"/>
              </w:rPr>
              <w:t xml:space="preserve">, </w:t>
            </w:r>
            <w:r w:rsidRPr="00C624A2">
              <w:rPr>
                <w:sz w:val="22"/>
                <w:szCs w:val="22"/>
              </w:rPr>
              <w:t xml:space="preserve">http://cejsh.icm.edu.pl/cejsh/element/bwmeta1.element.desklight-3f940d93-372a-4592-97ab-58db3d90f08d/c/msr_20_bohdziewicz-lulewicz.pdf </w:t>
            </w:r>
          </w:p>
          <w:p w:rsidR="00FD4122" w:rsidRPr="00C624A2" w:rsidRDefault="00FD4122" w:rsidP="00FD4122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Ekonomia społeczna: teoria i praktyka przedsiębiorczości społecznej, E. Brzuska, I. </w:t>
            </w:r>
            <w:proofErr w:type="spellStart"/>
            <w:r w:rsidRPr="00C624A2">
              <w:rPr>
                <w:sz w:val="22"/>
                <w:szCs w:val="22"/>
              </w:rPr>
              <w:t>Kuklak-Dolata</w:t>
            </w:r>
            <w:proofErr w:type="spellEnd"/>
            <w:r w:rsidRPr="00C624A2">
              <w:rPr>
                <w:sz w:val="22"/>
                <w:szCs w:val="22"/>
              </w:rPr>
              <w:t xml:space="preserve">, M. </w:t>
            </w:r>
            <w:proofErr w:type="spellStart"/>
            <w:r w:rsidRPr="00C624A2">
              <w:rPr>
                <w:sz w:val="22"/>
                <w:szCs w:val="22"/>
              </w:rPr>
              <w:t>Nyk</w:t>
            </w:r>
            <w:proofErr w:type="spellEnd"/>
            <w:r w:rsidRPr="00C624A2">
              <w:rPr>
                <w:sz w:val="22"/>
                <w:szCs w:val="22"/>
              </w:rPr>
              <w:t xml:space="preserve">, </w:t>
            </w:r>
            <w:proofErr w:type="spellStart"/>
            <w:r w:rsidRPr="00C624A2">
              <w:rPr>
                <w:sz w:val="22"/>
                <w:szCs w:val="22"/>
              </w:rPr>
              <w:t>Difin</w:t>
            </w:r>
            <w:proofErr w:type="spellEnd"/>
            <w:r w:rsidRPr="00C624A2">
              <w:rPr>
                <w:sz w:val="22"/>
                <w:szCs w:val="22"/>
              </w:rPr>
              <w:t>, Warszawa 2017</w:t>
            </w:r>
          </w:p>
          <w:p w:rsidR="00FD4122" w:rsidRPr="00C624A2" w:rsidRDefault="00FD4122" w:rsidP="00FD4122">
            <w:pPr>
              <w:rPr>
                <w:sz w:val="22"/>
                <w:szCs w:val="22"/>
              </w:rPr>
            </w:pPr>
            <w:r w:rsidRPr="00C624A2">
              <w:rPr>
                <w:sz w:val="22"/>
                <w:szCs w:val="22"/>
              </w:rPr>
              <w:t xml:space="preserve">Ekonomia społeczna: między rynkiem, państwem a obywatelem, red. J. Pach, D. Murzyn, </w:t>
            </w:r>
            <w:proofErr w:type="spellStart"/>
            <w:r w:rsidRPr="00C624A2">
              <w:rPr>
                <w:sz w:val="22"/>
                <w:szCs w:val="22"/>
              </w:rPr>
              <w:t>Difin</w:t>
            </w:r>
            <w:proofErr w:type="spellEnd"/>
            <w:r w:rsidRPr="00C624A2">
              <w:rPr>
                <w:sz w:val="22"/>
                <w:szCs w:val="22"/>
              </w:rPr>
              <w:t>, Warszawa 2018</w:t>
            </w:r>
          </w:p>
          <w:p w:rsidR="007D426D" w:rsidRPr="00C624A2" w:rsidRDefault="00FD4122" w:rsidP="00225B73">
            <w:pPr>
              <w:rPr>
                <w:sz w:val="22"/>
                <w:szCs w:val="16"/>
              </w:rPr>
            </w:pPr>
            <w:r w:rsidRPr="00C624A2">
              <w:rPr>
                <w:sz w:val="22"/>
                <w:szCs w:val="22"/>
              </w:rPr>
              <w:t xml:space="preserve">Przedsiębiorczość społeczna, innowacje, środowisko, red. J. Pach, R. Śliwa, W. Maciejewski, </w:t>
            </w:r>
            <w:proofErr w:type="spellStart"/>
            <w:r w:rsidRPr="00C624A2">
              <w:rPr>
                <w:sz w:val="22"/>
                <w:szCs w:val="22"/>
              </w:rPr>
              <w:t>CeDeWu</w:t>
            </w:r>
            <w:proofErr w:type="spellEnd"/>
            <w:r w:rsidRPr="00C624A2">
              <w:rPr>
                <w:sz w:val="22"/>
                <w:szCs w:val="22"/>
              </w:rPr>
              <w:t>, Warszawa 2019</w:t>
            </w:r>
          </w:p>
        </w:tc>
      </w:tr>
    </w:tbl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rPr>
          <w:sz w:val="22"/>
          <w:szCs w:val="16"/>
        </w:rPr>
      </w:pPr>
    </w:p>
    <w:p w:rsidR="00180009" w:rsidRPr="00C624A2" w:rsidRDefault="00180009" w:rsidP="00180009">
      <w:pPr>
        <w:pStyle w:val="Tekstdymka1"/>
        <w:rPr>
          <w:rFonts w:ascii="Times New Roman" w:hAnsi="Times New Roman" w:cs="Times New Roman"/>
          <w:sz w:val="22"/>
        </w:rPr>
      </w:pPr>
    </w:p>
    <w:p w:rsidR="00180009" w:rsidRPr="00C624A2" w:rsidRDefault="00180009" w:rsidP="00180009">
      <w:pPr>
        <w:pStyle w:val="Tekstdymka1"/>
        <w:rPr>
          <w:rFonts w:ascii="Times New Roman" w:hAnsi="Times New Roman" w:cs="Times New Roman"/>
          <w:sz w:val="22"/>
        </w:rPr>
      </w:pPr>
      <w:r w:rsidRPr="00C624A2">
        <w:rPr>
          <w:rFonts w:ascii="Times New Roman" w:hAnsi="Times New Roman" w:cs="Times New Roman"/>
          <w:sz w:val="22"/>
        </w:rPr>
        <w:t>Bilans godzinowy zgodny z CNPS (Całkowity Nakład Pracy Studenta)</w:t>
      </w:r>
    </w:p>
    <w:p w:rsidR="00180009" w:rsidRPr="00C624A2" w:rsidRDefault="00180009" w:rsidP="00180009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180009" w:rsidRPr="00C624A2" w:rsidTr="00225B7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180009" w:rsidRPr="00C624A2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80009" w:rsidRPr="00C624A2" w:rsidTr="00225B7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009" w:rsidRPr="00C624A2" w:rsidTr="00225B7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180009" w:rsidRPr="00C624A2" w:rsidRDefault="00180009" w:rsidP="00225B73">
            <w:pPr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180009" w:rsidRPr="00C624A2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180009" w:rsidRPr="00C624A2" w:rsidTr="00225B7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180009" w:rsidRPr="00C624A2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722B6" w:rsidRPr="00C624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180009" w:rsidRPr="00C624A2" w:rsidTr="00225B7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180009" w:rsidRPr="00C624A2" w:rsidRDefault="00A722B6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80009" w:rsidRPr="00C624A2" w:rsidTr="00225B7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009" w:rsidRPr="00C624A2" w:rsidTr="00225B7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180009" w:rsidRPr="00C624A2" w:rsidRDefault="00A722B6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180009" w:rsidRPr="00C624A2" w:rsidTr="00225B7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180009" w:rsidRPr="00C624A2" w:rsidRDefault="00A722B6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</w:tr>
      <w:tr w:rsidR="00180009" w:rsidRPr="00C624A2" w:rsidTr="00225B7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180009" w:rsidRPr="00C624A2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180009" w:rsidRPr="00C624A2" w:rsidRDefault="00A722B6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24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</w:tbl>
    <w:p w:rsidR="00180009" w:rsidRPr="00C624A2" w:rsidRDefault="00180009" w:rsidP="00180009">
      <w:pPr>
        <w:pStyle w:val="Tekstdymka1"/>
        <w:rPr>
          <w:rFonts w:ascii="Times New Roman" w:hAnsi="Times New Roman" w:cs="Times New Roman"/>
          <w:sz w:val="22"/>
        </w:rPr>
      </w:pPr>
    </w:p>
    <w:p w:rsidR="00396E45" w:rsidRPr="00C624A2" w:rsidRDefault="00D76772"/>
    <w:sectPr w:rsidR="00396E45" w:rsidRPr="00C624A2" w:rsidSect="009538B3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72" w:rsidRDefault="00D76772">
      <w:r>
        <w:separator/>
      </w:r>
    </w:p>
  </w:endnote>
  <w:endnote w:type="continuationSeparator" w:id="0">
    <w:p w:rsidR="00D76772" w:rsidRDefault="00D7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276FD">
    <w:pPr>
      <w:pStyle w:val="Stopka"/>
      <w:jc w:val="right"/>
    </w:pPr>
    <w:r>
      <w:fldChar w:fldCharType="begin"/>
    </w:r>
    <w:r w:rsidR="00180009">
      <w:instrText>PAGE   \* MERGEFORMAT</w:instrText>
    </w:r>
    <w:r>
      <w:fldChar w:fldCharType="separate"/>
    </w:r>
    <w:r w:rsidR="007A1ACF">
      <w:rPr>
        <w:noProof/>
      </w:rPr>
      <w:t>5</w:t>
    </w:r>
    <w:r>
      <w:fldChar w:fldCharType="end"/>
    </w:r>
  </w:p>
  <w:p w:rsidR="00303F50" w:rsidRDefault="00D76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72" w:rsidRDefault="00D76772">
      <w:r>
        <w:separator/>
      </w:r>
    </w:p>
  </w:footnote>
  <w:footnote w:type="continuationSeparator" w:id="0">
    <w:p w:rsidR="00D76772" w:rsidRDefault="00D7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4C" w:rsidRDefault="0049474C" w:rsidP="0049474C">
    <w:pPr>
      <w:rPr>
        <w:b/>
      </w:rPr>
    </w:pPr>
    <w:r>
      <w:t xml:space="preserve">KARTA KURSU – kierunek </w:t>
    </w:r>
    <w:r>
      <w:rPr>
        <w:b/>
        <w:color w:val="0070C0"/>
      </w:rPr>
      <w:t>ekonomia społeczna</w:t>
    </w:r>
    <w:r>
      <w:t xml:space="preserve">  – studia </w:t>
    </w:r>
    <w:r w:rsidRPr="009A0F73">
      <w:rPr>
        <w:b/>
      </w:rPr>
      <w:t>II</w:t>
    </w:r>
    <w:r w:rsidRPr="00231529">
      <w:rPr>
        <w:b/>
      </w:rPr>
      <w:t xml:space="preserve"> stopnia</w:t>
    </w:r>
    <w:r>
      <w:rPr>
        <w:b/>
      </w:rPr>
      <w:t xml:space="preserve"> (studia dualne)</w:t>
    </w:r>
  </w:p>
  <w:p w:rsidR="00303F50" w:rsidRDefault="00D76772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951"/>
    <w:multiLevelType w:val="hybridMultilevel"/>
    <w:tmpl w:val="527E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0AC"/>
    <w:multiLevelType w:val="hybridMultilevel"/>
    <w:tmpl w:val="ED989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C3B8F"/>
    <w:multiLevelType w:val="hybridMultilevel"/>
    <w:tmpl w:val="5DC27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03979"/>
    <w:rsid w:val="000B5995"/>
    <w:rsid w:val="000C2853"/>
    <w:rsid w:val="00100611"/>
    <w:rsid w:val="001506D9"/>
    <w:rsid w:val="00180009"/>
    <w:rsid w:val="002F3628"/>
    <w:rsid w:val="00337129"/>
    <w:rsid w:val="00343427"/>
    <w:rsid w:val="00424DC5"/>
    <w:rsid w:val="004642D4"/>
    <w:rsid w:val="00466B63"/>
    <w:rsid w:val="00475256"/>
    <w:rsid w:val="0049474C"/>
    <w:rsid w:val="00511B17"/>
    <w:rsid w:val="005276FD"/>
    <w:rsid w:val="0054632B"/>
    <w:rsid w:val="00574B51"/>
    <w:rsid w:val="005D23DA"/>
    <w:rsid w:val="005F7DC0"/>
    <w:rsid w:val="00603979"/>
    <w:rsid w:val="00656310"/>
    <w:rsid w:val="00662736"/>
    <w:rsid w:val="00665F80"/>
    <w:rsid w:val="00791031"/>
    <w:rsid w:val="007A1ACF"/>
    <w:rsid w:val="007D426D"/>
    <w:rsid w:val="00800DAE"/>
    <w:rsid w:val="00805AAE"/>
    <w:rsid w:val="00876AD6"/>
    <w:rsid w:val="008C109E"/>
    <w:rsid w:val="008C33FB"/>
    <w:rsid w:val="009158A5"/>
    <w:rsid w:val="009538B3"/>
    <w:rsid w:val="00956B68"/>
    <w:rsid w:val="009D0989"/>
    <w:rsid w:val="009E77B9"/>
    <w:rsid w:val="009F50DC"/>
    <w:rsid w:val="009F7E2D"/>
    <w:rsid w:val="00A722B6"/>
    <w:rsid w:val="00A93A3F"/>
    <w:rsid w:val="00AC700E"/>
    <w:rsid w:val="00B306FB"/>
    <w:rsid w:val="00BC2481"/>
    <w:rsid w:val="00C624A2"/>
    <w:rsid w:val="00C92F76"/>
    <w:rsid w:val="00C97E07"/>
    <w:rsid w:val="00CB2EF3"/>
    <w:rsid w:val="00D76772"/>
    <w:rsid w:val="00D82587"/>
    <w:rsid w:val="00D82F51"/>
    <w:rsid w:val="00D91B23"/>
    <w:rsid w:val="00E231D1"/>
    <w:rsid w:val="00F5104A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09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0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09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18000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80009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80009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180009"/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80009"/>
    <w:pPr>
      <w:suppressLineNumbers/>
    </w:pPr>
  </w:style>
  <w:style w:type="paragraph" w:customStyle="1" w:styleId="Tekstdymka1">
    <w:name w:val="Tekst dymka1"/>
    <w:basedOn w:val="Normalny"/>
    <w:rsid w:val="0018000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009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306F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6FB"/>
  </w:style>
  <w:style w:type="character" w:styleId="Odwoanieprzypisudolnego">
    <w:name w:val="footnote reference"/>
    <w:aliases w:val="Odwołanie przypisu"/>
    <w:basedOn w:val="Domylnaczcionkaakapitu"/>
    <w:unhideWhenUsed/>
    <w:rsid w:val="00B306F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D426D"/>
    <w:pPr>
      <w:widowControl/>
      <w:suppressAutoHyphens w:val="0"/>
      <w:autoSpaceDE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D426D"/>
    <w:pPr>
      <w:widowControl/>
      <w:autoSpaceDE/>
      <w:ind w:left="708"/>
    </w:pPr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</cp:revision>
  <dcterms:created xsi:type="dcterms:W3CDTF">2019-09-10T09:24:00Z</dcterms:created>
  <dcterms:modified xsi:type="dcterms:W3CDTF">2019-09-10T09:24:00Z</dcterms:modified>
</cp:coreProperties>
</file>